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061690">
        <w:rPr>
          <w:rFonts w:ascii="Arial" w:hAnsi="Arial" w:cs="Arial"/>
          <w:b/>
          <w:lang w:val="ro-RO"/>
        </w:rPr>
        <w:t xml:space="preserve"> ”</w:t>
      </w:r>
      <w:r w:rsidR="00790037" w:rsidRPr="000F26C9">
        <w:rPr>
          <w:b/>
          <w:bCs/>
          <w:lang w:val="ro-RO"/>
        </w:rPr>
        <w:t>INFIINTARE PARCARI AUTO</w:t>
      </w:r>
      <w:r w:rsidR="00061690">
        <w:rPr>
          <w:rFonts w:ascii="Arial" w:hAnsi="Arial" w:cs="Arial"/>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790037" w:rsidRPr="00790037">
        <w:rPr>
          <w:b/>
          <w:bCs/>
          <w:lang w:val="ro-RO"/>
        </w:rPr>
        <w:t xml:space="preserve"> </w:t>
      </w:r>
      <w:r w:rsidR="00790037" w:rsidRPr="000F26C9">
        <w:rPr>
          <w:b/>
          <w:bCs/>
          <w:lang w:val="ro-RO"/>
        </w:rPr>
        <w:t>INFIINTARE PARCARI AUTO</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790037" w:rsidRPr="00790037">
        <w:rPr>
          <w:b/>
          <w:bCs/>
          <w:lang w:val="ro-RO"/>
        </w:rPr>
        <w:t xml:space="preserve"> </w:t>
      </w:r>
      <w:r w:rsidR="00790037" w:rsidRPr="000F26C9">
        <w:rPr>
          <w:b/>
          <w:bCs/>
          <w:lang w:val="ro-RO"/>
        </w:rPr>
        <w:t>INFIINTARE PARCARI AUTO</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790037" w:rsidRPr="00790037">
        <w:rPr>
          <w:b/>
          <w:bCs/>
          <w:lang w:val="ro-RO"/>
        </w:rPr>
        <w:t xml:space="preserve"> </w:t>
      </w:r>
      <w:r w:rsidR="00790037" w:rsidRPr="000F26C9">
        <w:rPr>
          <w:b/>
          <w:bCs/>
          <w:lang w:val="ro-RO"/>
        </w:rPr>
        <w:t>INFIINTARE PARCARI AUTO</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061690">
        <w:rPr>
          <w:rFonts w:ascii="Arial" w:hAnsi="Arial" w:cs="Arial"/>
          <w:lang w:val="ro-RO"/>
        </w:rPr>
        <w:t>”</w:t>
      </w:r>
      <w:r w:rsidR="00790037" w:rsidRPr="00790037">
        <w:rPr>
          <w:b/>
          <w:bCs/>
          <w:lang w:val="ro-RO"/>
        </w:rPr>
        <w:t xml:space="preserve"> </w:t>
      </w:r>
      <w:r w:rsidR="00790037" w:rsidRPr="000F26C9">
        <w:rPr>
          <w:b/>
          <w:bCs/>
          <w:lang w:val="ro-RO"/>
        </w:rPr>
        <w:t>INFIINTARE PARCARI AUTO</w:t>
      </w:r>
      <w:r w:rsidR="00061690">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lastRenderedPageBreak/>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061690">
        <w:rPr>
          <w:rFonts w:ascii="Arial" w:hAnsi="Arial" w:cs="Arial"/>
          <w:b/>
        </w:rPr>
        <w:t>”</w:t>
      </w:r>
      <w:r w:rsidR="00790037" w:rsidRPr="00790037">
        <w:rPr>
          <w:b/>
          <w:bCs/>
        </w:rPr>
        <w:t xml:space="preserve"> </w:t>
      </w:r>
      <w:r w:rsidR="00790037" w:rsidRPr="000F26C9">
        <w:rPr>
          <w:b/>
          <w:bCs/>
        </w:rPr>
        <w:t>INFIINTARE PARCARI AUTO</w:t>
      </w:r>
      <w:r w:rsidR="00061690">
        <w:rPr>
          <w:rFonts w:ascii="Arial" w:hAnsi="Arial" w:cs="Arial"/>
          <w:b/>
          <w:sz w:val="22"/>
          <w:szCs w:val="22"/>
        </w:rPr>
        <w:t>”</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061690">
        <w:rPr>
          <w:rFonts w:ascii="Arial" w:hAnsi="Arial" w:cs="Arial"/>
          <w:kern w:val="0"/>
          <w:sz w:val="22"/>
          <w:szCs w:val="22"/>
          <w:lang w:val="ro-RO"/>
        </w:rPr>
        <w:t>”</w:t>
      </w:r>
      <w:r w:rsidR="00790037" w:rsidRPr="00790037">
        <w:rPr>
          <w:b/>
          <w:bCs/>
          <w:lang w:val="ro-RO"/>
        </w:rPr>
        <w:t xml:space="preserve"> </w:t>
      </w:r>
      <w:r w:rsidR="00790037" w:rsidRPr="000F26C9">
        <w:rPr>
          <w:b/>
          <w:bCs/>
          <w:lang w:val="ro-RO"/>
        </w:rPr>
        <w:t>INFIINTARE PARCARI AUTO</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 xml:space="preserve">Municipiul Vatra </w:t>
      </w:r>
      <w:proofErr w:type="gramStart"/>
      <w:r w:rsidRPr="00A847B9">
        <w:rPr>
          <w:rFonts w:ascii="Arial" w:hAnsi="Arial" w:cs="Arial"/>
          <w:b/>
          <w:color w:val="000000"/>
          <w:sz w:val="22"/>
          <w:szCs w:val="22"/>
        </w:rPr>
        <w:t>Dornei</w:t>
      </w:r>
      <w:r w:rsidRPr="00A847B9">
        <w:rPr>
          <w:rFonts w:ascii="Arial" w:hAnsi="Arial" w:cs="Arial"/>
          <w:color w:val="000000"/>
          <w:sz w:val="22"/>
          <w:szCs w:val="22"/>
        </w:rPr>
        <w:t xml:space="preserve"> ,</w:t>
      </w:r>
      <w:proofErr w:type="gramEnd"/>
      <w:r w:rsidRPr="00A847B9">
        <w:rPr>
          <w:rFonts w:ascii="Arial" w:hAnsi="Arial" w:cs="Arial"/>
          <w:color w:val="000000"/>
          <w:sz w:val="22"/>
          <w:szCs w:val="22"/>
        </w:rPr>
        <w:t xml:space="preserve">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790037" w:rsidRPr="00790037">
        <w:rPr>
          <w:b/>
          <w:bCs/>
          <w:lang w:val="ro-RO"/>
        </w:rPr>
        <w:t xml:space="preserve"> </w:t>
      </w:r>
      <w:r w:rsidR="00790037" w:rsidRPr="000F26C9">
        <w:rPr>
          <w:b/>
          <w:bCs/>
          <w:lang w:val="ro-RO"/>
        </w:rPr>
        <w:t>INFIINTARE PARCARI AUTO</w:t>
      </w:r>
      <w:r w:rsidR="000744D8">
        <w:rPr>
          <w:rFonts w:ascii="Arial" w:hAnsi="Arial" w:cs="Arial"/>
          <w:b/>
          <w:sz w:val="22"/>
          <w:szCs w:val="22"/>
          <w:lang w:val="ro-RO"/>
        </w:rPr>
        <w:t>”</w:t>
      </w:r>
      <w:r w:rsidRPr="00A847B9">
        <w:rPr>
          <w:rFonts w:ascii="Arial" w:hAnsi="Arial" w:cs="Arial"/>
          <w:sz w:val="22"/>
          <w:szCs w:val="22"/>
          <w:lang w:val="it-IT"/>
        </w:rPr>
        <w:t>, în perioada/perioadele convenite şi în conformitate cu obligaţiile asumate prin prezentul contract.</w:t>
      </w:r>
    </w:p>
    <w:p w:rsidR="00923526"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A2F48" w:rsidRDefault="009A2F48" w:rsidP="009A2F48">
      <w:pPr>
        <w:autoSpaceDE w:val="0"/>
        <w:autoSpaceDN w:val="0"/>
        <w:adjustRightInd w:val="0"/>
        <w:jc w:val="both"/>
        <w:rPr>
          <w:rFonts w:ascii="Arial" w:hAnsi="Arial" w:cs="Arial"/>
          <w:color w:val="000000" w:themeColor="text1"/>
          <w:sz w:val="22"/>
          <w:szCs w:val="22"/>
          <w:lang w:val="it-IT"/>
        </w:rPr>
      </w:pPr>
      <w:r>
        <w:rPr>
          <w:rFonts w:ascii="Arial" w:hAnsi="Arial" w:cs="Arial"/>
          <w:color w:val="000000" w:themeColor="text1"/>
          <w:sz w:val="22"/>
          <w:szCs w:val="22"/>
        </w:rPr>
        <w:t xml:space="preserve">4.3 - Achizitorul are dreptul de </w:t>
      </w:r>
      <w:proofErr w:type="gramStart"/>
      <w:r>
        <w:rPr>
          <w:rFonts w:ascii="Arial" w:hAnsi="Arial" w:cs="Arial"/>
          <w:color w:val="000000" w:themeColor="text1"/>
          <w:sz w:val="22"/>
          <w:szCs w:val="22"/>
        </w:rPr>
        <w:t>a</w:t>
      </w:r>
      <w:proofErr w:type="gramEnd"/>
      <w:r>
        <w:rPr>
          <w:rFonts w:ascii="Arial" w:hAnsi="Arial" w:cs="Arial"/>
          <w:color w:val="000000" w:themeColor="text1"/>
          <w:sz w:val="22"/>
          <w:szCs w:val="22"/>
        </w:rPr>
        <w:t xml:space="preserve"> acorda avans executantului, dacă acesta solicită, în cuantum de maxim 30% din valoarea contractului, în condițiile legii.</w:t>
      </w:r>
    </w:p>
    <w:p w:rsidR="009A2F48" w:rsidRPr="00A847B9" w:rsidRDefault="009A2F48" w:rsidP="00E65754">
      <w:pPr>
        <w:autoSpaceDE w:val="0"/>
        <w:autoSpaceDN w:val="0"/>
        <w:adjustRightInd w:val="0"/>
        <w:jc w:val="both"/>
        <w:rPr>
          <w:rFonts w:ascii="Arial" w:hAnsi="Arial" w:cs="Arial"/>
          <w:sz w:val="22"/>
          <w:szCs w:val="22"/>
          <w:lang w:val="it-IT"/>
        </w:rPr>
      </w:pP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 xml:space="preserve">şi predarea amplasamentului, respectiv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lastRenderedPageBreak/>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lastRenderedPageBreak/>
        <w:t xml:space="preserve">amplasamentul lucrării, liber </w:t>
      </w:r>
      <w:proofErr w:type="gramStart"/>
      <w:r w:rsidRPr="00A847B9">
        <w:rPr>
          <w:rFonts w:ascii="Arial" w:hAnsi="Arial" w:cs="Arial"/>
          <w:sz w:val="22"/>
          <w:szCs w:val="22"/>
          <w:lang w:val="fr-FR"/>
        </w:rPr>
        <w:t>de orice</w:t>
      </w:r>
      <w:proofErr w:type="gramEnd"/>
      <w:r w:rsidRPr="00A847B9">
        <w:rPr>
          <w:rFonts w:ascii="Arial" w:hAnsi="Arial" w:cs="Arial"/>
          <w:sz w:val="22"/>
          <w:szCs w:val="22"/>
          <w:lang w:val="fr-FR"/>
        </w:rPr>
        <w:t xml:space="preserv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 xml:space="preserve">căile </w:t>
      </w:r>
      <w:proofErr w:type="gramStart"/>
      <w:r w:rsidRPr="00A847B9">
        <w:rPr>
          <w:rFonts w:ascii="Arial" w:hAnsi="Arial" w:cs="Arial"/>
          <w:sz w:val="22"/>
          <w:szCs w:val="22"/>
          <w:lang w:val="fr-FR"/>
        </w:rPr>
        <w:t>de acces</w:t>
      </w:r>
      <w:proofErr w:type="gramEnd"/>
      <w:r w:rsidRPr="00A847B9">
        <w:rPr>
          <w:rFonts w:ascii="Arial" w:hAnsi="Arial" w:cs="Arial"/>
          <w:sz w:val="22"/>
          <w:szCs w:val="22"/>
          <w:lang w:val="fr-FR"/>
        </w:rPr>
        <w:t xml:space="preserve">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Achizitorul are obligaţia de a pune la dispoziţia executantului întreaga documentaţie necesară pentru execuţia lucrărilor contractate, fără plată, în patru exemplare, la termenele stabilite prin graficul de execuţie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Achizitorul este pe deplin responsabil </w:t>
      </w:r>
      <w:proofErr w:type="gramStart"/>
      <w:r w:rsidRPr="00A847B9">
        <w:rPr>
          <w:rFonts w:ascii="Arial" w:hAnsi="Arial" w:cs="Arial"/>
          <w:sz w:val="22"/>
          <w:szCs w:val="22"/>
          <w:lang w:val="fr-FR"/>
        </w:rPr>
        <w:t>de exactitatea</w:t>
      </w:r>
      <w:proofErr w:type="gramEnd"/>
      <w:r w:rsidRPr="00A847B9">
        <w:rPr>
          <w:rFonts w:ascii="Arial" w:hAnsi="Arial" w:cs="Arial"/>
          <w:sz w:val="22"/>
          <w:szCs w:val="22"/>
          <w:lang w:val="fr-FR"/>
        </w:rPr>
        <w:t xml:space="preserve">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lastRenderedPageBreak/>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proofErr w:type="gramStart"/>
      <w:r w:rsidRPr="00A847B9">
        <w:rPr>
          <w:rFonts w:ascii="Arial" w:hAnsi="Arial" w:cs="Arial"/>
          <w:sz w:val="22"/>
          <w:szCs w:val="22"/>
          <w:lang w:val="es-ES"/>
        </w:rPr>
        <w:t>îndreptăţesc</w:t>
      </w:r>
      <w:proofErr w:type="gramEnd"/>
      <w:r w:rsidRPr="00A847B9">
        <w:rPr>
          <w:rFonts w:ascii="Arial" w:hAnsi="Arial" w:cs="Arial"/>
          <w:sz w:val="22"/>
          <w:szCs w:val="22"/>
          <w:lang w:val="es-ES"/>
        </w:rPr>
        <w:t xml:space="preserve">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w:t>
      </w:r>
      <w:proofErr w:type="gramStart"/>
      <w:r w:rsidRPr="00A847B9">
        <w:rPr>
          <w:rFonts w:ascii="Arial" w:hAnsi="Arial" w:cs="Arial"/>
          <w:sz w:val="22"/>
          <w:szCs w:val="22"/>
          <w:lang w:val="es-ES"/>
        </w:rPr>
        <w:t>.(</w:t>
      </w:r>
      <w:proofErr w:type="gramEnd"/>
      <w:r w:rsidRPr="00A847B9">
        <w:rPr>
          <w:rFonts w:ascii="Arial" w:hAnsi="Arial" w:cs="Arial"/>
          <w:sz w:val="22"/>
          <w:szCs w:val="22"/>
          <w:lang w:val="es-ES"/>
        </w:rPr>
        <w:t>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lastRenderedPageBreak/>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D6" w:rsidRDefault="00EB11D6" w:rsidP="001A35C8">
      <w:r>
        <w:separator/>
      </w:r>
    </w:p>
  </w:endnote>
  <w:endnote w:type="continuationSeparator" w:id="1">
    <w:p w:rsidR="00EB11D6" w:rsidRDefault="00EB11D6"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A68EA"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9A2F48">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A68EA"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A68EA"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9A2F48">
      <w:rPr>
        <w:rStyle w:val="PageNumber"/>
        <w:noProof/>
      </w:rPr>
      <w:t>12</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D6" w:rsidRDefault="00EB11D6" w:rsidP="001A35C8">
      <w:r>
        <w:separator/>
      </w:r>
    </w:p>
  </w:footnote>
  <w:footnote w:type="continuationSeparator" w:id="1">
    <w:p w:rsidR="00EB11D6" w:rsidRDefault="00EB11D6"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F7"/>
    <w:rsid w:val="00061690"/>
    <w:rsid w:val="000744D8"/>
    <w:rsid w:val="00086808"/>
    <w:rsid w:val="000D026A"/>
    <w:rsid w:val="000F0ABE"/>
    <w:rsid w:val="00125F3D"/>
    <w:rsid w:val="001A35C8"/>
    <w:rsid w:val="00204617"/>
    <w:rsid w:val="00220254"/>
    <w:rsid w:val="0023384F"/>
    <w:rsid w:val="00253D7F"/>
    <w:rsid w:val="00271220"/>
    <w:rsid w:val="002943FF"/>
    <w:rsid w:val="002B209B"/>
    <w:rsid w:val="00334E04"/>
    <w:rsid w:val="00371DE7"/>
    <w:rsid w:val="003A68EA"/>
    <w:rsid w:val="003B77F5"/>
    <w:rsid w:val="003E5E18"/>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671D50"/>
    <w:rsid w:val="0067765E"/>
    <w:rsid w:val="006B3982"/>
    <w:rsid w:val="006E27DC"/>
    <w:rsid w:val="006F1942"/>
    <w:rsid w:val="0071035C"/>
    <w:rsid w:val="00727254"/>
    <w:rsid w:val="0072787F"/>
    <w:rsid w:val="00790037"/>
    <w:rsid w:val="007B0A96"/>
    <w:rsid w:val="007B4D05"/>
    <w:rsid w:val="00810223"/>
    <w:rsid w:val="00882A6D"/>
    <w:rsid w:val="00884E5A"/>
    <w:rsid w:val="008C299E"/>
    <w:rsid w:val="008F21E2"/>
    <w:rsid w:val="00917CC6"/>
    <w:rsid w:val="00923526"/>
    <w:rsid w:val="00925889"/>
    <w:rsid w:val="00983579"/>
    <w:rsid w:val="009910F2"/>
    <w:rsid w:val="009A0471"/>
    <w:rsid w:val="009A2F48"/>
    <w:rsid w:val="009C680D"/>
    <w:rsid w:val="009D0993"/>
    <w:rsid w:val="009E1BF1"/>
    <w:rsid w:val="009F1761"/>
    <w:rsid w:val="00A847B9"/>
    <w:rsid w:val="00AA0877"/>
    <w:rsid w:val="00AA27BD"/>
    <w:rsid w:val="00AC4546"/>
    <w:rsid w:val="00AD0CC5"/>
    <w:rsid w:val="00B11BD7"/>
    <w:rsid w:val="00BE2DFE"/>
    <w:rsid w:val="00BE4ADF"/>
    <w:rsid w:val="00BF5219"/>
    <w:rsid w:val="00BF6F23"/>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divs>
    <w:div w:id="1476752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7820</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4</cp:revision>
  <cp:lastPrinted>2017-03-29T05:16:00Z</cp:lastPrinted>
  <dcterms:created xsi:type="dcterms:W3CDTF">2018-08-31T10:30:00Z</dcterms:created>
  <dcterms:modified xsi:type="dcterms:W3CDTF">2018-08-31T12:23:00Z</dcterms:modified>
</cp:coreProperties>
</file>